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E6BD" w14:textId="6A1483E3" w:rsidR="00CC1A6E" w:rsidRDefault="002B4298">
      <w:pPr>
        <w:widowControl/>
        <w:jc w:val="left"/>
        <w:rPr>
          <w:rFonts w:eastAsia="宋体"/>
        </w:rPr>
      </w:pPr>
      <w:r>
        <w:rPr>
          <w:rFonts w:eastAsia="微软雅黑"/>
          <w:b/>
          <w:lang w:bidi="ar"/>
        </w:rPr>
        <w:t>Supplementary Table 1</w:t>
      </w:r>
      <w:r w:rsidR="00CF5508">
        <w:rPr>
          <w:rFonts w:eastAsia="宋体"/>
          <w:b/>
          <w:bCs/>
          <w:kern w:val="0"/>
        </w:rPr>
        <w:t>.</w:t>
      </w:r>
      <w:r>
        <w:rPr>
          <w:rFonts w:eastAsia="宋体"/>
          <w:b/>
          <w:bCs/>
          <w:kern w:val="0"/>
        </w:rPr>
        <w:t xml:space="preserve"> Reagents and Resources.</w:t>
      </w:r>
    </w:p>
    <w:tbl>
      <w:tblPr>
        <w:tblStyle w:val="a3"/>
        <w:tblW w:w="4858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none" w:sz="0" w:space="0" w:color="auto"/>
          <w:right w:val="single" w:sz="12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B5C7EA" w:themeFill="accent1" w:themeFillTint="66"/>
        <w:tblLayout w:type="fixed"/>
        <w:tblLook w:val="04A0" w:firstRow="1" w:lastRow="0" w:firstColumn="1" w:lastColumn="0" w:noHBand="0" w:noVBand="1"/>
      </w:tblPr>
      <w:tblGrid>
        <w:gridCol w:w="6411"/>
        <w:gridCol w:w="1855"/>
        <w:gridCol w:w="2113"/>
      </w:tblGrid>
      <w:tr w:rsidR="00CC1A6E" w14:paraId="094C9B25" w14:textId="77777777">
        <w:trPr>
          <w:trHeight w:val="296"/>
          <w:jc w:val="center"/>
        </w:trPr>
        <w:tc>
          <w:tcPr>
            <w:tcW w:w="3087" w:type="pct"/>
            <w:tcBorders>
              <w:top w:val="nil"/>
              <w:left w:val="single" w:sz="12" w:space="0" w:color="4BACC6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64C39B1A" w14:textId="77777777" w:rsidR="00CC1A6E" w:rsidRDefault="002B4298">
            <w:pPr>
              <w:spacing w:line="240" w:lineRule="auto"/>
              <w:rPr>
                <w:b/>
              </w:rPr>
            </w:pPr>
            <w:r>
              <w:rPr>
                <w:b/>
              </w:rPr>
              <w:t>Regent or Resource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3F22285C" w14:textId="77777777" w:rsidR="00CC1A6E" w:rsidRDefault="002B4298">
            <w:pPr>
              <w:spacing w:line="240" w:lineRule="auto"/>
              <w:rPr>
                <w:rFonts w:eastAsia="Times New Roman"/>
                <w:b/>
              </w:rPr>
            </w:pPr>
            <w:r>
              <w:rPr>
                <w:b/>
              </w:rPr>
              <w:t>Resource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1C732B30" w14:textId="77777777" w:rsidR="00CC1A6E" w:rsidRDefault="002B4298">
            <w:pPr>
              <w:spacing w:line="240" w:lineRule="auto"/>
              <w:rPr>
                <w:b/>
              </w:rPr>
            </w:pPr>
            <w:r>
              <w:rPr>
                <w:b/>
              </w:rPr>
              <w:t>Identifier</w:t>
            </w:r>
          </w:p>
        </w:tc>
      </w:tr>
      <w:tr w:rsidR="00CC1A6E" w14:paraId="69E3F320" w14:textId="77777777">
        <w:trPr>
          <w:trHeight w:val="23"/>
          <w:jc w:val="center"/>
        </w:trPr>
        <w:tc>
          <w:tcPr>
            <w:tcW w:w="3087" w:type="pct"/>
            <w:tcBorders>
              <w:top w:val="nil"/>
              <w:left w:val="single" w:sz="12" w:space="0" w:color="4BACC6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5AE89196" w14:textId="77777777" w:rsidR="00CC1A6E" w:rsidRDefault="002B4298">
            <w:pPr>
              <w:spacing w:line="240" w:lineRule="auto"/>
              <w:rPr>
                <w:b/>
              </w:rPr>
            </w:pPr>
            <w:r>
              <w:rPr>
                <w:b/>
              </w:rPr>
              <w:t>Antibodies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27261BB5" w14:textId="77777777" w:rsidR="00CC1A6E" w:rsidRDefault="00CC1A6E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12" w:space="0" w:color="FFFFFF" w:themeColor="background1"/>
              <w:right w:val="single" w:sz="12" w:space="0" w:color="4BACC6"/>
            </w:tcBorders>
            <w:shd w:val="clear" w:color="auto" w:fill="4BACC6"/>
          </w:tcPr>
          <w:p w14:paraId="7C01BE06" w14:textId="77777777" w:rsidR="00CC1A6E" w:rsidRDefault="00CC1A6E">
            <w:pPr>
              <w:spacing w:line="240" w:lineRule="auto"/>
              <w:rPr>
                <w:rFonts w:eastAsia="Times New Roman"/>
              </w:rPr>
            </w:pPr>
          </w:p>
        </w:tc>
      </w:tr>
      <w:tr w:rsidR="00CC1A6E" w14:paraId="0C9BC01F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68F2F1B5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t>Rabbit anti-CD63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4B2F99D9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Times New Roman"/>
              </w:rPr>
              <w:t>P</w:t>
            </w:r>
            <w:r>
              <w:t>rotein</w:t>
            </w:r>
            <w:r>
              <w:rPr>
                <w:rFonts w:eastAsia="Times New Roman"/>
              </w:rPr>
              <w:t>tech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7C2E05A7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25682-1-AP</w:t>
            </w:r>
          </w:p>
        </w:tc>
      </w:tr>
      <w:tr w:rsidR="00CC1A6E" w14:paraId="44383531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4E2620D4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t>Rabbit anti-CD9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27C64E5E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>
              <w:t>rotein</w:t>
            </w:r>
            <w:r>
              <w:rPr>
                <w:rFonts w:eastAsia="Times New Roman"/>
              </w:rPr>
              <w:t>tech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7DB92E75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Cat: </w:t>
            </w:r>
            <w:r>
              <w:rPr>
                <w:rFonts w:eastAsia="宋体"/>
              </w:rPr>
              <w:t>20597-1-AP</w:t>
            </w:r>
          </w:p>
        </w:tc>
      </w:tr>
      <w:tr w:rsidR="00CC1A6E" w14:paraId="52CF7B9B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3B5D67DA" w14:textId="77777777" w:rsidR="00CC1A6E" w:rsidRDefault="002B4298">
            <w:pPr>
              <w:spacing w:line="240" w:lineRule="auto"/>
            </w:pPr>
            <w:r>
              <w:t>Rabbit anti-ALIX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0965E1E0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t>CST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24971363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92880</w:t>
            </w:r>
          </w:p>
        </w:tc>
      </w:tr>
      <w:tr w:rsidR="00CC1A6E" w14:paraId="6C2FABAC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7CC5BD73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t>Rabbit anti-TSG101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4901E44E" w14:textId="77777777" w:rsidR="00CC1A6E" w:rsidRDefault="002B4298">
            <w:pPr>
              <w:spacing w:line="240" w:lineRule="auto"/>
            </w:pPr>
            <w:r>
              <w:t>CST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68A0642B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72312</w:t>
            </w:r>
          </w:p>
        </w:tc>
      </w:tr>
      <w:tr w:rsidR="00CC1A6E" w14:paraId="7CD06303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7BD9CE75" w14:textId="77777777" w:rsidR="00CC1A6E" w:rsidRDefault="002B4298">
            <w:pPr>
              <w:spacing w:line="276" w:lineRule="auto"/>
              <w:rPr>
                <w:rFonts w:eastAsia="宋体"/>
              </w:rPr>
            </w:pPr>
            <w:r>
              <w:rPr>
                <w:rFonts w:eastAsia="Times New Roman"/>
              </w:rPr>
              <w:t>anti-</w:t>
            </w:r>
            <w:r>
              <w:rPr>
                <w:rFonts w:eastAsia="宋体"/>
              </w:rPr>
              <w:t>human</w:t>
            </w:r>
            <w:r>
              <w:rPr>
                <w:rFonts w:eastAsia="Times New Roman"/>
              </w:rPr>
              <w:t xml:space="preserve"> CD</w:t>
            </w:r>
            <w:r>
              <w:rPr>
                <w:rFonts w:eastAsia="宋体"/>
              </w:rPr>
              <w:t>9</w:t>
            </w:r>
            <w:r>
              <w:rPr>
                <w:rFonts w:eastAsia="Times New Roman"/>
              </w:rPr>
              <w:t>-</w:t>
            </w:r>
            <w:r>
              <w:rPr>
                <w:rFonts w:eastAsia="宋体"/>
              </w:rPr>
              <w:t>PE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6DD24AC6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BioLegend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378B79E7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</w:t>
            </w:r>
            <w:r>
              <w:t xml:space="preserve"> 312105</w:t>
            </w:r>
          </w:p>
        </w:tc>
      </w:tr>
      <w:tr w:rsidR="00CC1A6E" w14:paraId="2DD1C91D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617370F6" w14:textId="77777777" w:rsidR="00CC1A6E" w:rsidRDefault="002B4298">
            <w:pPr>
              <w:spacing w:line="240" w:lineRule="auto"/>
            </w:pPr>
            <w:r>
              <w:t>Mouse anti-LAMP1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24C16569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Santa Cruz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2A5C3108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Cat: sc-19992</w:t>
            </w:r>
          </w:p>
        </w:tc>
      </w:tr>
      <w:tr w:rsidR="00CC1A6E" w14:paraId="372828B7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641D22C4" w14:textId="77777777" w:rsidR="00CC1A6E" w:rsidRDefault="002B4298">
            <w:pPr>
              <w:spacing w:line="240" w:lineRule="auto"/>
            </w:pPr>
            <w:r>
              <w:t>Rabbit anti-HGS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4CCBB31C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Abcam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3DA32751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Cat: ab155539</w:t>
            </w:r>
          </w:p>
        </w:tc>
      </w:tr>
      <w:tr w:rsidR="00CC1A6E" w14:paraId="0295966E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1AAEC99A" w14:textId="77777777" w:rsidR="00CC1A6E" w:rsidRDefault="002B4298">
            <w:pPr>
              <w:spacing w:line="240" w:lineRule="auto"/>
            </w:pPr>
            <w:r>
              <w:t>Mouse anti-EEA1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3E78D99C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宋体"/>
              </w:rPr>
              <w:t>Santa Cruz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3D410625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Cat: sc-137130</w:t>
            </w:r>
          </w:p>
        </w:tc>
      </w:tr>
      <w:tr w:rsidR="00CC1A6E" w14:paraId="51895246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3FB8BD66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iFluor™ </w:t>
            </w:r>
            <w:r>
              <w:rPr>
                <w:rFonts w:eastAsia="宋体"/>
              </w:rPr>
              <w:t>488</w:t>
            </w:r>
            <w:r>
              <w:rPr>
                <w:rFonts w:eastAsia="Times New Roman"/>
              </w:rPr>
              <w:t xml:space="preserve"> Conjugated Goat anti-rabbit IgG Goat Polyclonal Antibody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2D46B7D1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宋体"/>
              </w:rPr>
              <w:t>H</w:t>
            </w:r>
            <w:r>
              <w:rPr>
                <w:rFonts w:eastAsia="Times New Roman"/>
              </w:rPr>
              <w:t>uabio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0D069B87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HA1121</w:t>
            </w:r>
          </w:p>
        </w:tc>
      </w:tr>
      <w:tr w:rsidR="00CC1A6E" w14:paraId="00491492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1C26252B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iFluor™ 594 Conjugated Goat anti-</w:t>
            </w:r>
            <w:r>
              <w:rPr>
                <w:rFonts w:eastAsia="宋体"/>
              </w:rPr>
              <w:t>mouse</w:t>
            </w:r>
            <w:r>
              <w:rPr>
                <w:rFonts w:eastAsia="Times New Roman"/>
              </w:rPr>
              <w:t xml:space="preserve"> IgG Goat Polyclonal Antibody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7E6C9F03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宋体"/>
              </w:rPr>
              <w:t>H</w:t>
            </w:r>
            <w:r>
              <w:rPr>
                <w:rFonts w:eastAsia="Times New Roman"/>
              </w:rPr>
              <w:t>uabio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281D1F5E" w14:textId="77777777" w:rsidR="00CC1A6E" w:rsidRDefault="002B4298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HA1126</w:t>
            </w:r>
          </w:p>
        </w:tc>
      </w:tr>
      <w:tr w:rsidR="00CC1A6E" w14:paraId="64CC59A8" w14:textId="77777777">
        <w:trPr>
          <w:trHeight w:val="23"/>
          <w:jc w:val="center"/>
        </w:trPr>
        <w:tc>
          <w:tcPr>
            <w:tcW w:w="3087" w:type="pct"/>
            <w:tcBorders>
              <w:top w:val="single" w:sz="12" w:space="0" w:color="FFFFFF" w:themeColor="background1"/>
              <w:left w:val="single" w:sz="12" w:space="0" w:color="4BACC6"/>
              <w:bottom w:val="single" w:sz="12" w:space="0" w:color="FFFFFF" w:themeColor="background1"/>
              <w:right w:val="single" w:sz="8" w:space="0" w:color="4BACC6"/>
            </w:tcBorders>
            <w:shd w:val="clear" w:color="auto" w:fill="4BACC6"/>
          </w:tcPr>
          <w:p w14:paraId="0EA6DA17" w14:textId="77777777" w:rsidR="00CC1A6E" w:rsidRDefault="002B4298">
            <w:pPr>
              <w:spacing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Other Reagents</w:t>
            </w:r>
          </w:p>
        </w:tc>
        <w:tc>
          <w:tcPr>
            <w:tcW w:w="893" w:type="pct"/>
            <w:tcBorders>
              <w:top w:val="single" w:sz="12" w:space="0" w:color="FFFFFF" w:themeColor="background1"/>
              <w:left w:val="single" w:sz="8" w:space="0" w:color="4BACC6"/>
              <w:bottom w:val="single" w:sz="12" w:space="0" w:color="FFFFFF" w:themeColor="background1"/>
              <w:right w:val="single" w:sz="8" w:space="0" w:color="4BACC6"/>
            </w:tcBorders>
            <w:shd w:val="clear" w:color="auto" w:fill="4BACC6"/>
          </w:tcPr>
          <w:p w14:paraId="32096EE9" w14:textId="77777777" w:rsidR="00CC1A6E" w:rsidRDefault="00CC1A6E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18" w:type="pct"/>
            <w:tcBorders>
              <w:top w:val="single" w:sz="12" w:space="0" w:color="FFFFFF" w:themeColor="background1"/>
              <w:left w:val="single" w:sz="8" w:space="0" w:color="4BACC6"/>
              <w:bottom w:val="single" w:sz="12" w:space="0" w:color="FFFFFF" w:themeColor="background1"/>
              <w:right w:val="single" w:sz="8" w:space="0" w:color="4BACC6"/>
            </w:tcBorders>
            <w:shd w:val="clear" w:color="auto" w:fill="4BACC6"/>
          </w:tcPr>
          <w:p w14:paraId="2EF0BE96" w14:textId="77777777" w:rsidR="00CC1A6E" w:rsidRDefault="00CC1A6E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</w:tr>
      <w:tr w:rsidR="00CC1A6E" w14:paraId="54FAAEC5" w14:textId="77777777">
        <w:trPr>
          <w:trHeight w:val="23"/>
          <w:jc w:val="center"/>
        </w:trPr>
        <w:tc>
          <w:tcPr>
            <w:tcW w:w="3087" w:type="pct"/>
            <w:tcBorders>
              <w:top w:val="single" w:sz="12" w:space="0" w:color="FFFFFF" w:themeColor="background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0E9861B8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PKH26 Red Fluorescent Cell Linker Mini Kit</w:t>
            </w:r>
          </w:p>
        </w:tc>
        <w:tc>
          <w:tcPr>
            <w:tcW w:w="893" w:type="pct"/>
            <w:tcBorders>
              <w:top w:val="single" w:sz="12" w:space="0" w:color="FFFFFF" w:themeColor="background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06E9819A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Times New Roman"/>
              </w:rPr>
              <w:t>Merck</w:t>
            </w:r>
          </w:p>
        </w:tc>
        <w:tc>
          <w:tcPr>
            <w:tcW w:w="1018" w:type="pct"/>
            <w:tcBorders>
              <w:top w:val="single" w:sz="12" w:space="0" w:color="FFFFFF" w:themeColor="background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471D956F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</w:t>
            </w:r>
            <w:r>
              <w:t xml:space="preserve"> MINI26-1KT</w:t>
            </w:r>
          </w:p>
        </w:tc>
      </w:tr>
      <w:tr w:rsidR="00CC1A6E" w14:paraId="161037B4" w14:textId="77777777">
        <w:trPr>
          <w:trHeight w:val="90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300FA78A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iFluor™ 488 phalloidin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639B2928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Yeasen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5286BD12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</w:t>
            </w:r>
            <w:r>
              <w:t xml:space="preserve"> 40736ES75</w:t>
            </w:r>
          </w:p>
        </w:tc>
      </w:tr>
      <w:tr w:rsidR="00CC1A6E" w14:paraId="6B23FE53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0735B7E8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Times New Roman"/>
              </w:rPr>
              <w:t>Antifade Mounting Medium with DAPI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32DCE5A5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Beyotime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5F62C4C7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Cat: P0131</w:t>
            </w:r>
          </w:p>
        </w:tc>
      </w:tr>
      <w:tr w:rsidR="00CC1A6E" w14:paraId="2A856C0E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5EE0B5E7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Times New Roman"/>
              </w:rPr>
              <w:t>FBS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6DAF5394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Vazyme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</w:tcPr>
          <w:p w14:paraId="7A264DD9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Times New Roman"/>
              </w:rPr>
              <w:t>Cat:</w:t>
            </w:r>
            <w:r>
              <w:rPr>
                <w:rFonts w:eastAsia="宋体"/>
              </w:rPr>
              <w:t xml:space="preserve"> F101</w:t>
            </w:r>
          </w:p>
        </w:tc>
      </w:tr>
      <w:tr w:rsidR="00CC1A6E" w14:paraId="77283AB0" w14:textId="77777777">
        <w:trPr>
          <w:trHeight w:val="23"/>
          <w:jc w:val="center"/>
        </w:trPr>
        <w:tc>
          <w:tcPr>
            <w:tcW w:w="308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5B8F100E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CCK8</w:t>
            </w:r>
          </w:p>
        </w:tc>
        <w:tc>
          <w:tcPr>
            <w:tcW w:w="89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1A67C10E" w14:textId="77777777" w:rsidR="00CC1A6E" w:rsidRDefault="002B4298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Yeasen</w:t>
            </w:r>
          </w:p>
        </w:tc>
        <w:tc>
          <w:tcPr>
            <w:tcW w:w="101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 w:themeFillTint="66"/>
          </w:tcPr>
          <w:p w14:paraId="1965F301" w14:textId="77777777" w:rsidR="00CC1A6E" w:rsidRDefault="002B4298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宋体"/>
              </w:rPr>
              <w:t>Cat: 40203ES60</w:t>
            </w:r>
          </w:p>
        </w:tc>
      </w:tr>
    </w:tbl>
    <w:p w14:paraId="5D605D29" w14:textId="77777777" w:rsidR="00CC1A6E" w:rsidRDefault="00CC1A6E"/>
    <w:sectPr w:rsidR="00CC1A6E" w:rsidSect="002B4298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B9E6" w14:textId="77777777" w:rsidR="00CC1A6E" w:rsidRDefault="002B4298">
      <w:pPr>
        <w:spacing w:line="240" w:lineRule="auto"/>
      </w:pPr>
      <w:r>
        <w:separator/>
      </w:r>
    </w:p>
  </w:endnote>
  <w:endnote w:type="continuationSeparator" w:id="0">
    <w:p w14:paraId="7E02440B" w14:textId="77777777" w:rsidR="00CC1A6E" w:rsidRDefault="002B4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C509" w14:textId="77777777" w:rsidR="00CC1A6E" w:rsidRDefault="002B4298">
      <w:r>
        <w:separator/>
      </w:r>
    </w:p>
  </w:footnote>
  <w:footnote w:type="continuationSeparator" w:id="0">
    <w:p w14:paraId="18B6476C" w14:textId="77777777" w:rsidR="00CC1A6E" w:rsidRDefault="002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232A6A"/>
    <w:rsid w:val="002B4298"/>
    <w:rsid w:val="00CC1A6E"/>
    <w:rsid w:val="00CF5508"/>
    <w:rsid w:val="6F2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626DF"/>
  <w15:docId w15:val="{0E5E9480-7EE0-49B9-9596-EDE5284F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ascii="Times New Roman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2B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SAYEN</dc:creator>
  <cp:lastModifiedBy>汤杨蓝</cp:lastModifiedBy>
  <cp:revision>3</cp:revision>
  <dcterms:created xsi:type="dcterms:W3CDTF">2025-05-11T03:40:00Z</dcterms:created>
  <dcterms:modified xsi:type="dcterms:W3CDTF">2025-08-14T03:11:00Z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1023435CBA1F4E14B862D93C09D88F5D_11</vt:lpwstr>
  </property>
  <property fmtid="{D5CDD505-2E9C-101B-9397-08002B2CF9AE}" pid="4" name="KSOTemplateDocerSaveRecord">
    <vt:lpwstr>eyJoZGlkIjoiNzU4Y2I2NDBjYTNjNzg5NzU5OWI1MWNmNzY1OTEwZGMiLCJ1c2VySWQiOiIzMjYyMjIzNjIifQ==</vt:lpwstr>
  </property>
  <property fmtid="{D5CDD505-2E9C-101B-9397-08002B2CF9AE}" pid="5" name="GrammarlyDocumentId">
    <vt:lpwstr>e5c75bc5-51c7-4a67-8258-27882a72354c</vt:lpwstr>
  </property>
</Properties>
</file>